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46" w:rsidRDefault="00AF776B" w:rsidP="00EF4F46">
      <w:pPr>
        <w:jc w:val="center"/>
      </w:pPr>
      <w:bookmarkStart w:id="0" w:name="_GoBack"/>
      <w:bookmarkEnd w:id="0"/>
      <w:r>
        <w:rPr>
          <w:noProof/>
          <w:lang w:eastAsia="fr-FR"/>
        </w:rPr>
        <w:drawing>
          <wp:inline distT="0" distB="0" distL="0" distR="0">
            <wp:extent cx="4171950" cy="2181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2181225"/>
                    </a:xfrm>
                    <a:prstGeom prst="rect">
                      <a:avLst/>
                    </a:prstGeom>
                    <a:noFill/>
                    <a:ln>
                      <a:noFill/>
                    </a:ln>
                  </pic:spPr>
                </pic:pic>
              </a:graphicData>
            </a:graphic>
          </wp:inline>
        </w:drawing>
      </w:r>
    </w:p>
    <w:p w:rsidR="00EF4F46" w:rsidRDefault="00EF4F46">
      <w:pPr>
        <w:rPr>
          <w:b/>
          <w:color w:val="0066FF"/>
          <w:sz w:val="96"/>
          <w:szCs w:val="96"/>
          <w:u w:val="single"/>
        </w:rPr>
      </w:pPr>
    </w:p>
    <w:p w:rsidR="00EF4F46" w:rsidRDefault="00EF4F46">
      <w:pPr>
        <w:rPr>
          <w:b/>
          <w:color w:val="0066FF"/>
          <w:sz w:val="96"/>
          <w:szCs w:val="96"/>
          <w:u w:val="single"/>
        </w:rPr>
      </w:pPr>
    </w:p>
    <w:p w:rsidR="00EF4F46" w:rsidRPr="002175E7" w:rsidRDefault="00EF4F46" w:rsidP="00EF4F46">
      <w:pPr>
        <w:jc w:val="center"/>
        <w:rPr>
          <w:b/>
          <w:color w:val="0066FF"/>
          <w:sz w:val="96"/>
          <w:szCs w:val="96"/>
          <w:u w:val="single"/>
        </w:rPr>
      </w:pPr>
      <w:r>
        <w:rPr>
          <w:b/>
          <w:color w:val="0066FF"/>
          <w:sz w:val="96"/>
          <w:u w:val="single"/>
        </w:rPr>
        <w:t>ACTIVATOP GTP</w:t>
      </w:r>
    </w:p>
    <w:p w:rsidR="00EF4F46" w:rsidRDefault="00EF4F46">
      <w:r>
        <w:br w:type="page"/>
      </w:r>
    </w:p>
    <w:p w:rsidR="00EF4F46" w:rsidRDefault="00AF776B">
      <w:r>
        <w:rPr>
          <w:noProof/>
          <w:lang w:eastAsia="fr-FR"/>
        </w:rPr>
        <w:drawing>
          <wp:inline distT="0" distB="0" distL="0" distR="0">
            <wp:extent cx="1809750" cy="9429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p w:rsidR="00EF4F46" w:rsidRPr="002175E7" w:rsidRDefault="00EF4F46" w:rsidP="00EF4F46">
      <w:pPr>
        <w:pStyle w:val="Sansinterligne"/>
        <w:rPr>
          <w:b/>
          <w:color w:val="0066FF"/>
          <w:sz w:val="28"/>
          <w:szCs w:val="28"/>
          <w:u w:val="single"/>
        </w:rPr>
      </w:pPr>
      <w:r>
        <w:rPr>
          <w:b/>
          <w:color w:val="0066FF"/>
          <w:sz w:val="28"/>
          <w:u w:val="single"/>
        </w:rPr>
        <w:t xml:space="preserve">vue d'ensemble  </w:t>
      </w:r>
    </w:p>
    <w:p w:rsidR="00EF4F46" w:rsidRPr="00C078B4" w:rsidRDefault="00EF4F46" w:rsidP="00EF4F46">
      <w:pPr>
        <w:pStyle w:val="Sansinterligne"/>
      </w:pPr>
    </w:p>
    <w:p w:rsidR="00EF4F46" w:rsidRDefault="00EF4F46" w:rsidP="00EF4F46">
      <w:pPr>
        <w:pStyle w:val="Sansinterligne"/>
        <w:jc w:val="both"/>
      </w:pPr>
      <w:r>
        <w:t>ACTIVATOP GTP est un mélange de plusieurs souches bacillus spécialement sélectionnées pour leur capacité à dégrader les huiles et graisses animales, végétales et minérales.  Ces souches bactériennes ont été développées individuellement en culture pure, collectées, préservées et mélangées dans une combinaison sélectionnée. Les bactéries sont stabilisées dans une base de son stérilisé, avec des nutriments et des enzymes ajoutés donnant une apparence marron clair et une légère odeur de levure.</w:t>
      </w:r>
    </w:p>
    <w:p w:rsidR="00EF4F46" w:rsidRDefault="00EF4F46" w:rsidP="00EF4F46">
      <w:pPr>
        <w:pStyle w:val="Sansinterligne"/>
        <w:jc w:val="both"/>
      </w:pPr>
    </w:p>
    <w:p w:rsidR="00EF4F46" w:rsidRDefault="00EF4F46" w:rsidP="00EF4F46">
      <w:pPr>
        <w:pStyle w:val="Sansinterligne"/>
        <w:jc w:val="both"/>
      </w:pPr>
    </w:p>
    <w:p w:rsidR="00EF4F46" w:rsidRPr="002175E7" w:rsidRDefault="00EF4F46" w:rsidP="00EF4F46">
      <w:pPr>
        <w:pStyle w:val="Sansinterligne"/>
        <w:jc w:val="both"/>
        <w:rPr>
          <w:b/>
          <w:color w:val="0066FF"/>
          <w:sz w:val="28"/>
          <w:szCs w:val="28"/>
          <w:u w:val="single"/>
        </w:rPr>
      </w:pPr>
      <w:r>
        <w:rPr>
          <w:b/>
          <w:color w:val="0066FF"/>
          <w:sz w:val="28"/>
          <w:u w:val="single"/>
        </w:rPr>
        <w:t xml:space="preserve">caractéristiques techniques d'ACTIVATOP GTP </w:t>
      </w:r>
    </w:p>
    <w:p w:rsidR="00EF4F46" w:rsidRPr="00C078B4" w:rsidRDefault="00EF4F46" w:rsidP="00EF4F46">
      <w:pPr>
        <w:pStyle w:val="Sansinterligne"/>
        <w:jc w:val="both"/>
      </w:pPr>
    </w:p>
    <w:p w:rsidR="00EF4F46" w:rsidRPr="00C078B4" w:rsidRDefault="00EF4F46" w:rsidP="00EF4F46">
      <w:pPr>
        <w:pStyle w:val="Sansinterligne"/>
        <w:jc w:val="both"/>
      </w:pPr>
      <w:r>
        <w:t xml:space="preserve">Contribue à optimiser les performances des bacs à graisse, réduisant les amas graisseux.  </w:t>
      </w:r>
    </w:p>
    <w:p w:rsidR="00EF4F46" w:rsidRPr="00C078B4" w:rsidRDefault="00EF4F46" w:rsidP="00EF4F46">
      <w:pPr>
        <w:pStyle w:val="Sansinterligne"/>
        <w:jc w:val="both"/>
      </w:pPr>
      <w:r>
        <w:t xml:space="preserve"> </w:t>
      </w:r>
    </w:p>
    <w:p w:rsidR="00EF4F46" w:rsidRPr="00C078B4" w:rsidRDefault="00EF4F46" w:rsidP="00EF4F46">
      <w:pPr>
        <w:pStyle w:val="Sansinterligne"/>
        <w:jc w:val="both"/>
      </w:pPr>
      <w:r>
        <w:t xml:space="preserve">Permet de combattre les émulsions de graisses et de détergents, huiles et autres déchets alimentaires.  </w:t>
      </w:r>
    </w:p>
    <w:p w:rsidR="00EF4F46" w:rsidRPr="00C078B4" w:rsidRDefault="00EF4F46" w:rsidP="00EF4F46">
      <w:pPr>
        <w:pStyle w:val="Sansinterligne"/>
        <w:jc w:val="both"/>
      </w:pPr>
      <w:r>
        <w:t xml:space="preserve"> </w:t>
      </w:r>
    </w:p>
    <w:p w:rsidR="00EF4F46" w:rsidRPr="00C078B4" w:rsidRDefault="00EF4F46" w:rsidP="00EF4F46">
      <w:pPr>
        <w:pStyle w:val="Sansinterligne"/>
        <w:jc w:val="both"/>
      </w:pPr>
      <w:r>
        <w:t xml:space="preserve">Un élément essentiel d'une bonne hygiène pour les restaurants, les usines, les garages, etc.  </w:t>
      </w:r>
    </w:p>
    <w:p w:rsidR="00EF4F46" w:rsidRPr="00C078B4" w:rsidRDefault="00EF4F46" w:rsidP="00EF4F46">
      <w:pPr>
        <w:pStyle w:val="Sansinterligne"/>
        <w:jc w:val="both"/>
      </w:pPr>
      <w:r>
        <w:t xml:space="preserve"> </w:t>
      </w:r>
    </w:p>
    <w:p w:rsidR="00EF4F46" w:rsidRPr="00C078B4" w:rsidRDefault="00EF4F46" w:rsidP="00EF4F46">
      <w:pPr>
        <w:pStyle w:val="Sansinterligne"/>
        <w:jc w:val="both"/>
      </w:pPr>
      <w:r>
        <w:t xml:space="preserve">Permet de maintenir les bacs à graisse des installations d'évacuation propres et fluides.  </w:t>
      </w:r>
    </w:p>
    <w:p w:rsidR="00EF4F46" w:rsidRPr="00C078B4" w:rsidRDefault="00EF4F46" w:rsidP="00EF4F46">
      <w:pPr>
        <w:pStyle w:val="Sansinterligne"/>
        <w:jc w:val="both"/>
      </w:pPr>
      <w:r>
        <w:t xml:space="preserve"> </w:t>
      </w:r>
    </w:p>
    <w:p w:rsidR="00EF4F46" w:rsidRPr="00C078B4" w:rsidRDefault="00EF4F46" w:rsidP="00EF4F46">
      <w:pPr>
        <w:pStyle w:val="Sansinterligne"/>
        <w:jc w:val="both"/>
      </w:pPr>
      <w:r>
        <w:t xml:space="preserve">Assure une action rapide et approfondie grâce à la synergie des enzymes, bactéries et nutriments. </w:t>
      </w:r>
    </w:p>
    <w:p w:rsidR="00EF4F46" w:rsidRPr="00C078B4" w:rsidRDefault="00EF4F46" w:rsidP="00EF4F46">
      <w:pPr>
        <w:pStyle w:val="Sansinterligne"/>
        <w:jc w:val="both"/>
      </w:pPr>
      <w:r>
        <w:t xml:space="preserve"> </w:t>
      </w:r>
    </w:p>
    <w:p w:rsidR="00EF4F46" w:rsidRPr="00C078B4" w:rsidRDefault="00EF4F46" w:rsidP="00EF4F46">
      <w:pPr>
        <w:pStyle w:val="Sansinterligne"/>
        <w:jc w:val="both"/>
      </w:pPr>
      <w:r>
        <w:t xml:space="preserve">Longue durée de conservation d'au moins deux ans dans son conditionnement d'origine.  </w:t>
      </w:r>
    </w:p>
    <w:p w:rsidR="00EF4F46" w:rsidRPr="00C078B4" w:rsidRDefault="00EF4F46" w:rsidP="00EF4F46">
      <w:pPr>
        <w:pStyle w:val="Sansinterligne"/>
        <w:jc w:val="both"/>
      </w:pPr>
      <w:r>
        <w:t xml:space="preserve"> </w:t>
      </w:r>
    </w:p>
    <w:p w:rsidR="00EF4F46" w:rsidRPr="00C078B4" w:rsidRDefault="00EF4F46" w:rsidP="00EF4F46">
      <w:pPr>
        <w:pStyle w:val="Sansinterligne"/>
        <w:jc w:val="both"/>
      </w:pPr>
      <w:r>
        <w:t xml:space="preserve">Aucune précaution particulière n'est nécessaire pour la manipulation d'ACTIVATOP GTP. Il convient toutefois d'observer de bonnes pratiques dans la manipulation de tout produit en poudre. </w:t>
      </w:r>
    </w:p>
    <w:p w:rsidR="00EF4F46" w:rsidRDefault="00EF4F46" w:rsidP="00EF4F46">
      <w:pPr>
        <w:pStyle w:val="Sansinterligne"/>
        <w:jc w:val="both"/>
      </w:pPr>
    </w:p>
    <w:p w:rsidR="00EF4F46" w:rsidRPr="002175E7" w:rsidRDefault="00EF4F46" w:rsidP="00EF4F46">
      <w:pPr>
        <w:pStyle w:val="Sansinterligne"/>
        <w:jc w:val="both"/>
        <w:rPr>
          <w:b/>
          <w:color w:val="0066FF"/>
          <w:sz w:val="28"/>
          <w:szCs w:val="28"/>
          <w:u w:val="single"/>
        </w:rPr>
      </w:pPr>
      <w:r>
        <w:rPr>
          <w:b/>
          <w:color w:val="0066FF"/>
          <w:sz w:val="28"/>
          <w:u w:val="single"/>
        </w:rPr>
        <w:t xml:space="preserve">instructions de dosage </w:t>
      </w:r>
    </w:p>
    <w:p w:rsidR="00EF4F46" w:rsidRPr="00C078B4" w:rsidRDefault="00EF4F46" w:rsidP="00EF4F46">
      <w:pPr>
        <w:pStyle w:val="Sansinterligne"/>
        <w:jc w:val="both"/>
      </w:pPr>
    </w:p>
    <w:p w:rsidR="00EF4F46" w:rsidRPr="00C078B4" w:rsidRDefault="00EF4F46" w:rsidP="00EF4F46">
      <w:pPr>
        <w:pStyle w:val="Sansinterligne"/>
        <w:jc w:val="both"/>
      </w:pPr>
      <w:r>
        <w:t xml:space="preserve">Il est recommandé de réaliser une solution de GTP avant d'ajouter le produit dans le bac à graisse, le système évacuation des eaux, etc. Veuillez consulter le tableau ci-dessous pour des indications générales. </w:t>
      </w:r>
    </w:p>
    <w:p w:rsidR="00EF4F46" w:rsidRDefault="00EF4F46" w:rsidP="00EF4F46">
      <w:pPr>
        <w:jc w:val="both"/>
      </w:pPr>
      <w:r>
        <w:br w:type="page"/>
      </w:r>
    </w:p>
    <w:p w:rsidR="00EF4F46" w:rsidRDefault="00AF776B" w:rsidP="00EF4F46">
      <w:pPr>
        <w:pStyle w:val="Sansinterligne"/>
      </w:pPr>
      <w:r>
        <w:rPr>
          <w:noProof/>
          <w:lang w:eastAsia="fr-FR"/>
        </w:rPr>
        <w:drawing>
          <wp:inline distT="0" distB="0" distL="0" distR="0">
            <wp:extent cx="1809750" cy="9429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p w:rsidR="00EF4F46" w:rsidRDefault="00EF4F46" w:rsidP="00EF4F46">
      <w:pPr>
        <w:pStyle w:val="Sansinterligne"/>
      </w:pPr>
    </w:p>
    <w:p w:rsidR="00EF4F46" w:rsidRPr="00C078B4" w:rsidRDefault="00EF4F46" w:rsidP="00EF4F46">
      <w:pPr>
        <w:pStyle w:val="Sansinterligne"/>
      </w:pPr>
    </w:p>
    <w:p w:rsidR="00EF4F46" w:rsidRPr="002175E7" w:rsidRDefault="00EF4F46" w:rsidP="00EF4F46">
      <w:pPr>
        <w:pStyle w:val="Sansinterligne"/>
        <w:rPr>
          <w:b/>
          <w:sz w:val="28"/>
          <w:szCs w:val="28"/>
          <w:u w:val="single"/>
        </w:rPr>
      </w:pPr>
      <w:r>
        <w:t xml:space="preserve"> </w:t>
      </w:r>
      <w:r>
        <w:rPr>
          <w:b/>
          <w:color w:val="0066FF"/>
          <w:sz w:val="28"/>
          <w:u w:val="single"/>
        </w:rPr>
        <w:t xml:space="preserve">programme de dosage   </w:t>
      </w:r>
    </w:p>
    <w:p w:rsidR="00EF4F46" w:rsidRPr="00C078B4" w:rsidRDefault="00EF4F46" w:rsidP="00EF4F46">
      <w:pPr>
        <w:pStyle w:val="Sansinterligne"/>
      </w:pPr>
      <w:r>
        <w:t xml:space="preserve"> </w:t>
      </w:r>
    </w:p>
    <w:p w:rsidR="00EF4F46" w:rsidRPr="00C078B4" w:rsidRDefault="00EF4F46" w:rsidP="00EF4F46">
      <w:pPr>
        <w:pStyle w:val="Sansinterligne"/>
      </w:pPr>
      <w:r>
        <w:t xml:space="preserve">Bacs à graisse industriels  </w:t>
      </w:r>
    </w:p>
    <w:p w:rsidR="00EF4F46" w:rsidRPr="00C078B4" w:rsidRDefault="00EF4F46" w:rsidP="00EF4F46">
      <w:pPr>
        <w:pStyle w:val="Sansinterligne"/>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EF4F46" w:rsidRPr="0081762E" w:rsidTr="00EF4F46">
        <w:trPr>
          <w:jc w:val="center"/>
        </w:trPr>
        <w:tc>
          <w:tcPr>
            <w:tcW w:w="3070" w:type="dxa"/>
          </w:tcPr>
          <w:p w:rsidR="00EF4F46" w:rsidRPr="0081762E" w:rsidRDefault="00EF4F46" w:rsidP="00EF4F46">
            <w:pPr>
              <w:pStyle w:val="Sansinterligne"/>
              <w:jc w:val="center"/>
            </w:pPr>
            <w:r>
              <w:t>Dose de départ</w:t>
            </w:r>
          </w:p>
        </w:tc>
        <w:tc>
          <w:tcPr>
            <w:tcW w:w="3071" w:type="dxa"/>
          </w:tcPr>
          <w:p w:rsidR="00EF4F46" w:rsidRPr="0081762E" w:rsidRDefault="00EF4F46" w:rsidP="00EF4F46">
            <w:pPr>
              <w:pStyle w:val="Sansinterligne"/>
              <w:jc w:val="center"/>
            </w:pPr>
            <w:r>
              <w:t>Dose d'entretien</w:t>
            </w:r>
          </w:p>
        </w:tc>
        <w:tc>
          <w:tcPr>
            <w:tcW w:w="3071" w:type="dxa"/>
          </w:tcPr>
          <w:p w:rsidR="00EF4F46" w:rsidRPr="0081762E" w:rsidRDefault="00EF4F46" w:rsidP="00EF4F46">
            <w:pPr>
              <w:pStyle w:val="Sansinterligne"/>
              <w:jc w:val="center"/>
            </w:pPr>
            <w:r>
              <w:t>Commentaires</w:t>
            </w:r>
          </w:p>
        </w:tc>
      </w:tr>
      <w:tr w:rsidR="00EF4F46" w:rsidRPr="0081762E" w:rsidTr="00EF4F46">
        <w:trPr>
          <w:jc w:val="center"/>
        </w:trPr>
        <w:tc>
          <w:tcPr>
            <w:tcW w:w="3070" w:type="dxa"/>
          </w:tcPr>
          <w:p w:rsidR="00EF4F46" w:rsidRPr="0081762E" w:rsidRDefault="00EF4F46" w:rsidP="00EF4F46">
            <w:pPr>
              <w:pStyle w:val="Sansinterligne"/>
              <w:jc w:val="center"/>
            </w:pPr>
            <w:r>
              <w:t>1 Kg par m3 de bac</w:t>
            </w:r>
          </w:p>
        </w:tc>
        <w:tc>
          <w:tcPr>
            <w:tcW w:w="3071" w:type="dxa"/>
          </w:tcPr>
          <w:p w:rsidR="00EF4F46" w:rsidRPr="0081762E" w:rsidRDefault="00EF4F46" w:rsidP="00EF4F46">
            <w:pPr>
              <w:pStyle w:val="Sansinterligne"/>
              <w:jc w:val="center"/>
            </w:pPr>
            <w:r>
              <w:t>Tous les jours, 5 à 10 g par m3 de flux</w:t>
            </w:r>
          </w:p>
        </w:tc>
        <w:tc>
          <w:tcPr>
            <w:tcW w:w="3071" w:type="dxa"/>
          </w:tcPr>
          <w:p w:rsidR="00EF4F46" w:rsidRPr="0081762E" w:rsidRDefault="00EF4F46" w:rsidP="00EF4F46">
            <w:pPr>
              <w:pStyle w:val="Sansinterligne"/>
              <w:jc w:val="center"/>
            </w:pPr>
            <w:r>
              <w:t>Le dosage peut être adapté aux besoins de chaque bac.</w:t>
            </w:r>
          </w:p>
        </w:tc>
      </w:tr>
    </w:tbl>
    <w:p w:rsidR="00EF4F46" w:rsidRPr="00C078B4" w:rsidRDefault="00EF4F46" w:rsidP="00EF4F46">
      <w:pPr>
        <w:pStyle w:val="Sansinterligne"/>
      </w:pPr>
    </w:p>
    <w:p w:rsidR="00EF4F46" w:rsidRDefault="00EF4F46" w:rsidP="00EF4F46">
      <w:pPr>
        <w:pStyle w:val="Sansinterligne"/>
      </w:pPr>
    </w:p>
    <w:p w:rsidR="00EF4F46" w:rsidRDefault="00EF4F46" w:rsidP="00EF4F46">
      <w:pPr>
        <w:pStyle w:val="Sansinterligne"/>
      </w:pPr>
      <w:r>
        <w:t xml:space="preserve">Grands bacs commerciaux, fosses septiques, séparateurs, etc.  </w:t>
      </w:r>
    </w:p>
    <w:p w:rsidR="00EF4F46" w:rsidRDefault="00EF4F46" w:rsidP="00EF4F46">
      <w:pPr>
        <w:pStyle w:val="Sansinterlig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EF4F46" w:rsidRPr="0081762E" w:rsidTr="00EF4F46">
        <w:trPr>
          <w:jc w:val="center"/>
        </w:trPr>
        <w:tc>
          <w:tcPr>
            <w:tcW w:w="3070" w:type="dxa"/>
          </w:tcPr>
          <w:p w:rsidR="00EF4F46" w:rsidRPr="0081762E" w:rsidRDefault="00EF4F46" w:rsidP="00EF4F46">
            <w:pPr>
              <w:pStyle w:val="Sansinterligne"/>
              <w:jc w:val="center"/>
            </w:pPr>
            <w:r>
              <w:t>Volume du bac</w:t>
            </w:r>
          </w:p>
        </w:tc>
        <w:tc>
          <w:tcPr>
            <w:tcW w:w="3071" w:type="dxa"/>
          </w:tcPr>
          <w:p w:rsidR="00EF4F46" w:rsidRPr="0081762E" w:rsidRDefault="00EF4F46" w:rsidP="00EF4F46">
            <w:pPr>
              <w:pStyle w:val="Sansinterligne"/>
              <w:jc w:val="center"/>
            </w:pPr>
            <w:r>
              <w:t>Dose de départ pour une fosse</w:t>
            </w:r>
          </w:p>
        </w:tc>
        <w:tc>
          <w:tcPr>
            <w:tcW w:w="3071" w:type="dxa"/>
          </w:tcPr>
          <w:p w:rsidR="00EF4F46" w:rsidRPr="0081762E" w:rsidRDefault="00EF4F46" w:rsidP="00EF4F46">
            <w:pPr>
              <w:pStyle w:val="Sansinterligne"/>
              <w:jc w:val="center"/>
            </w:pPr>
            <w:r>
              <w:t>Dose d'entretien quotidienne</w:t>
            </w:r>
          </w:p>
        </w:tc>
      </w:tr>
      <w:tr w:rsidR="00EF4F46" w:rsidRPr="0081762E" w:rsidTr="00EF4F46">
        <w:trPr>
          <w:jc w:val="center"/>
        </w:trPr>
        <w:tc>
          <w:tcPr>
            <w:tcW w:w="3070" w:type="dxa"/>
            <w:vAlign w:val="center"/>
          </w:tcPr>
          <w:p w:rsidR="00EF4F46" w:rsidRPr="0081762E" w:rsidRDefault="00EF4F46" w:rsidP="00EF4F46">
            <w:pPr>
              <w:pStyle w:val="Sansinterligne"/>
              <w:jc w:val="center"/>
            </w:pPr>
            <w:r>
              <w:t>10 m3</w:t>
            </w:r>
          </w:p>
        </w:tc>
        <w:tc>
          <w:tcPr>
            <w:tcW w:w="3071" w:type="dxa"/>
            <w:vAlign w:val="center"/>
          </w:tcPr>
          <w:p w:rsidR="00EF4F46" w:rsidRPr="0081762E" w:rsidRDefault="00EF4F46" w:rsidP="00EF4F46">
            <w:pPr>
              <w:pStyle w:val="Sansinterligne"/>
              <w:jc w:val="center"/>
            </w:pPr>
            <w:r>
              <w:t>500 g le 1er jour puis 100 g par jour pendant 5 jours.</w:t>
            </w:r>
          </w:p>
          <w:p w:rsidR="00EF4F46" w:rsidRPr="0081762E" w:rsidRDefault="00EF4F46" w:rsidP="00EF4F46">
            <w:pPr>
              <w:pStyle w:val="Sansinterligne"/>
              <w:jc w:val="center"/>
            </w:pPr>
            <w:r>
              <w:t>Puis dosage d'entretien</w:t>
            </w:r>
          </w:p>
        </w:tc>
        <w:tc>
          <w:tcPr>
            <w:tcW w:w="3071" w:type="dxa"/>
            <w:vAlign w:val="center"/>
          </w:tcPr>
          <w:p w:rsidR="00EF4F46" w:rsidRPr="0081762E" w:rsidRDefault="004814CD" w:rsidP="00EF4F46">
            <w:pPr>
              <w:pStyle w:val="Sansinterligne"/>
              <w:jc w:val="center"/>
            </w:pPr>
            <w:r>
              <w:t xml:space="preserve">20 </w:t>
            </w:r>
            <w:r w:rsidR="00EF4F46">
              <w:t>g</w:t>
            </w:r>
          </w:p>
        </w:tc>
      </w:tr>
      <w:tr w:rsidR="00EF4F46" w:rsidRPr="0081762E" w:rsidTr="00EF4F46">
        <w:trPr>
          <w:jc w:val="center"/>
        </w:trPr>
        <w:tc>
          <w:tcPr>
            <w:tcW w:w="3070" w:type="dxa"/>
            <w:vAlign w:val="center"/>
          </w:tcPr>
          <w:p w:rsidR="00EF4F46" w:rsidRPr="0081762E" w:rsidRDefault="00EF4F46" w:rsidP="00EF4F46">
            <w:pPr>
              <w:pStyle w:val="Sansinterligne"/>
              <w:jc w:val="center"/>
            </w:pPr>
            <w:r>
              <w:t>20 m3</w:t>
            </w:r>
          </w:p>
        </w:tc>
        <w:tc>
          <w:tcPr>
            <w:tcW w:w="3071" w:type="dxa"/>
            <w:vAlign w:val="center"/>
          </w:tcPr>
          <w:p w:rsidR="00EF4F46" w:rsidRPr="0081762E" w:rsidRDefault="00EF4F46" w:rsidP="00EF4F46">
            <w:pPr>
              <w:pStyle w:val="Sansinterligne"/>
              <w:jc w:val="center"/>
            </w:pPr>
            <w:r>
              <w:t>750 g le 1er jour puis 150 g par jour pendant 5 jours.</w:t>
            </w:r>
          </w:p>
          <w:p w:rsidR="00EF4F46" w:rsidRPr="0081762E" w:rsidRDefault="00EF4F46" w:rsidP="00EF4F46">
            <w:pPr>
              <w:pStyle w:val="Sansinterligne"/>
              <w:jc w:val="center"/>
            </w:pPr>
            <w:r>
              <w:t>Puis dosage d'entretien</w:t>
            </w:r>
          </w:p>
        </w:tc>
        <w:tc>
          <w:tcPr>
            <w:tcW w:w="3071" w:type="dxa"/>
            <w:vAlign w:val="center"/>
          </w:tcPr>
          <w:p w:rsidR="00EF4F46" w:rsidRPr="0081762E" w:rsidRDefault="00EF4F46" w:rsidP="00EF4F46">
            <w:pPr>
              <w:pStyle w:val="Sansinterligne"/>
              <w:jc w:val="center"/>
            </w:pPr>
            <w:r>
              <w:t>30 g</w:t>
            </w:r>
          </w:p>
        </w:tc>
      </w:tr>
      <w:tr w:rsidR="00EF4F46" w:rsidRPr="0081762E" w:rsidTr="00EF4F46">
        <w:trPr>
          <w:jc w:val="center"/>
        </w:trPr>
        <w:tc>
          <w:tcPr>
            <w:tcW w:w="3070" w:type="dxa"/>
            <w:vAlign w:val="center"/>
          </w:tcPr>
          <w:p w:rsidR="00EF4F46" w:rsidRPr="0081762E" w:rsidRDefault="00EF4F46" w:rsidP="00EF4F46">
            <w:pPr>
              <w:pStyle w:val="Sansinterligne"/>
              <w:jc w:val="center"/>
            </w:pPr>
            <w:r>
              <w:t>40 m3</w:t>
            </w:r>
          </w:p>
        </w:tc>
        <w:tc>
          <w:tcPr>
            <w:tcW w:w="3071" w:type="dxa"/>
            <w:vAlign w:val="center"/>
          </w:tcPr>
          <w:p w:rsidR="00EF4F46" w:rsidRPr="0081762E" w:rsidRDefault="00EF4F46" w:rsidP="00EF4F46">
            <w:pPr>
              <w:pStyle w:val="Sansinterligne"/>
              <w:jc w:val="center"/>
            </w:pPr>
            <w:r>
              <w:t>1 Kg le 1er jour puis 200 g par jour pendant 5 jours.</w:t>
            </w:r>
          </w:p>
          <w:p w:rsidR="00EF4F46" w:rsidRPr="0081762E" w:rsidRDefault="00EF4F46" w:rsidP="00EF4F46">
            <w:pPr>
              <w:pStyle w:val="Sansinterligne"/>
              <w:jc w:val="center"/>
            </w:pPr>
            <w:r>
              <w:t>Puis dosage d'entretien</w:t>
            </w:r>
          </w:p>
          <w:p w:rsidR="00EF4F46" w:rsidRPr="0081762E" w:rsidRDefault="00EF4F46" w:rsidP="00EF4F46">
            <w:pPr>
              <w:pStyle w:val="Sansinterligne"/>
              <w:jc w:val="center"/>
            </w:pPr>
            <w:r>
              <w:t>40 g</w:t>
            </w:r>
          </w:p>
        </w:tc>
        <w:tc>
          <w:tcPr>
            <w:tcW w:w="3071" w:type="dxa"/>
            <w:vAlign w:val="center"/>
          </w:tcPr>
          <w:p w:rsidR="00EF4F46" w:rsidRPr="0081762E" w:rsidRDefault="00EF4F46" w:rsidP="00EF4F46">
            <w:pPr>
              <w:pStyle w:val="Sansinterligne"/>
              <w:jc w:val="center"/>
            </w:pPr>
            <w:r>
              <w:t>40 g</w:t>
            </w:r>
          </w:p>
        </w:tc>
      </w:tr>
    </w:tbl>
    <w:p w:rsidR="00EF4F46" w:rsidRPr="00C078B4" w:rsidRDefault="00EF4F46" w:rsidP="00EF4F46">
      <w:pPr>
        <w:pStyle w:val="Sansinterligne"/>
      </w:pPr>
    </w:p>
    <w:p w:rsidR="00EF4F46" w:rsidRPr="00C078B4" w:rsidRDefault="00EF4F46" w:rsidP="00EF4F46">
      <w:pPr>
        <w:pStyle w:val="Sansinterligne"/>
      </w:pPr>
      <w:r>
        <w:t>Les doses ci-dessus sont données à titre indicatif uniquement. Des caractéristiques particulières au niveau local peuvent nécessiter une augmentation ou une diminution de ces dosages.</w:t>
      </w:r>
    </w:p>
    <w:p w:rsidR="00EF4F46" w:rsidRDefault="00EF4F46" w:rsidP="00EF4F46">
      <w:pPr>
        <w:pStyle w:val="Sansinterligne"/>
      </w:pPr>
      <w:r>
        <w:t>Lors de la réalisation d'une solution de produits, veuillez si possible ajouter le produit à un mélange liquide de 50 % d'effluents et 50 % d'eau propre, environ 5 L pour 100 g. Si ce n'est pas possible, le produit peut être ajouté directement à l'eau propre ou dans le bac à graisse, le système d'évacuation, etc. et être évacué avec l'eau.</w:t>
      </w:r>
    </w:p>
    <w:p w:rsidR="00EF4F46" w:rsidRDefault="00EF4F46">
      <w:r>
        <w:br w:type="page"/>
      </w:r>
    </w:p>
    <w:p w:rsidR="00EF4F46" w:rsidRDefault="00AF776B" w:rsidP="00EF4F46">
      <w:pPr>
        <w:pStyle w:val="Sansinterligne"/>
      </w:pPr>
      <w:r>
        <w:rPr>
          <w:noProof/>
          <w:lang w:eastAsia="fr-FR"/>
        </w:rPr>
        <w:drawing>
          <wp:inline distT="0" distB="0" distL="0" distR="0">
            <wp:extent cx="1809750" cy="9429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p w:rsidR="00EF4F46" w:rsidRDefault="00EF4F46" w:rsidP="00EF4F46">
      <w:pPr>
        <w:pStyle w:val="Sansinterligne"/>
      </w:pPr>
    </w:p>
    <w:p w:rsidR="00EF4F46" w:rsidRDefault="00EF4F46" w:rsidP="00EF4F46">
      <w:pPr>
        <w:pStyle w:val="Sansinterligne"/>
      </w:pPr>
    </w:p>
    <w:p w:rsidR="00EF4F46" w:rsidRPr="002175E7" w:rsidRDefault="00EF4F46" w:rsidP="00EF4F46">
      <w:pPr>
        <w:pStyle w:val="Sansinterligne"/>
        <w:rPr>
          <w:b/>
          <w:color w:val="0066FF"/>
          <w:sz w:val="28"/>
          <w:szCs w:val="28"/>
          <w:u w:val="single"/>
        </w:rPr>
      </w:pPr>
      <w:r>
        <w:rPr>
          <w:b/>
          <w:color w:val="0066FF"/>
          <w:sz w:val="28"/>
          <w:u w:val="single"/>
        </w:rPr>
        <w:t>Spécifications techniques d'ACTIVATOP GTP</w:t>
      </w:r>
    </w:p>
    <w:p w:rsidR="00EF4F46" w:rsidRDefault="00EF4F46" w:rsidP="00EF4F46">
      <w:pPr>
        <w:pStyle w:val="Sansinterligne"/>
      </w:pPr>
    </w:p>
    <w:p w:rsidR="00EF4F46" w:rsidRDefault="00EF4F46" w:rsidP="00EF4F46">
      <w:pPr>
        <w:pStyle w:val="Sansinterlig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9"/>
      </w:tblGrid>
      <w:tr w:rsidR="00EF4F46" w:rsidRPr="0081762E" w:rsidTr="00EF4F46">
        <w:tc>
          <w:tcPr>
            <w:tcW w:w="2943" w:type="dxa"/>
          </w:tcPr>
          <w:p w:rsidR="00EF4F46" w:rsidRPr="0081762E" w:rsidRDefault="00EF4F46" w:rsidP="00EF4F46">
            <w:pPr>
              <w:pStyle w:val="Sansinterligne"/>
            </w:pPr>
            <w:r>
              <w:t>Application</w:t>
            </w:r>
          </w:p>
        </w:tc>
        <w:tc>
          <w:tcPr>
            <w:tcW w:w="6269" w:type="dxa"/>
          </w:tcPr>
          <w:p w:rsidR="00EF4F46" w:rsidRPr="0081762E" w:rsidRDefault="00EF4F46" w:rsidP="00EF4F46">
            <w:pPr>
              <w:pStyle w:val="Sansinterligne"/>
              <w:jc w:val="both"/>
            </w:pPr>
            <w:r>
              <w:t>Évacuations et bacs à graisse industriels, grands bacs à graisse et fosses septiques, autres séparateurs collectant les déchets organiques des huiles et graisses animales, végétales et minérales courantes.</w:t>
            </w:r>
          </w:p>
        </w:tc>
      </w:tr>
      <w:tr w:rsidR="00EF4F46" w:rsidRPr="0081762E" w:rsidTr="00EF4F46">
        <w:tc>
          <w:tcPr>
            <w:tcW w:w="2943" w:type="dxa"/>
          </w:tcPr>
          <w:p w:rsidR="00EF4F46" w:rsidRPr="0081762E" w:rsidRDefault="00EF4F46" w:rsidP="00EF4F46">
            <w:pPr>
              <w:pStyle w:val="Sansinterligne"/>
            </w:pPr>
            <w:r>
              <w:t>Bactéries</w:t>
            </w:r>
          </w:p>
        </w:tc>
        <w:tc>
          <w:tcPr>
            <w:tcW w:w="6269" w:type="dxa"/>
          </w:tcPr>
          <w:p w:rsidR="00EF4F46" w:rsidRPr="0081762E" w:rsidRDefault="00EF4F46" w:rsidP="00EF4F46">
            <w:pPr>
              <w:pStyle w:val="Sansinterligne"/>
              <w:jc w:val="both"/>
            </w:pPr>
            <w:r>
              <w:t xml:space="preserve">numération bactérienne : 2x10⁹/gm  </w:t>
            </w:r>
          </w:p>
          <w:p w:rsidR="00EF4F46" w:rsidRPr="0081762E" w:rsidRDefault="00EF4F46" w:rsidP="00EF4F46">
            <w:pPr>
              <w:pStyle w:val="Sansinterligne"/>
              <w:jc w:val="both"/>
            </w:pPr>
            <w:r>
              <w:t xml:space="preserve">Les microorganismes de la formulation interviennent tous de manière naturelle, </w:t>
            </w:r>
          </w:p>
          <w:p w:rsidR="00EF4F46" w:rsidRPr="0081762E" w:rsidRDefault="00EF4F46" w:rsidP="00EF4F46">
            <w:pPr>
              <w:pStyle w:val="Sansinterligne"/>
              <w:jc w:val="both"/>
            </w:pPr>
            <w:r>
              <w:t xml:space="preserve">souches Bacillus de Classe 1. Ces souches n'ont été génétiquement modifiées en aucune façon. </w:t>
            </w:r>
          </w:p>
          <w:p w:rsidR="00EF4F46" w:rsidRPr="0081762E" w:rsidRDefault="00EF4F46" w:rsidP="00EF4F46">
            <w:pPr>
              <w:pStyle w:val="Sansinterligne"/>
              <w:jc w:val="both"/>
            </w:pPr>
            <w:r>
              <w:t xml:space="preserve">Seules les souches reconnues comme non pathogènes pour les humains, animaux et plantes sont intégrées à ce produit.    </w:t>
            </w:r>
          </w:p>
        </w:tc>
      </w:tr>
      <w:tr w:rsidR="00EF4F46" w:rsidRPr="0081762E" w:rsidTr="00EF4F46">
        <w:tc>
          <w:tcPr>
            <w:tcW w:w="2943" w:type="dxa"/>
          </w:tcPr>
          <w:p w:rsidR="00EF4F46" w:rsidRPr="0081762E" w:rsidRDefault="00EF4F46" w:rsidP="00EF4F46">
            <w:pPr>
              <w:pStyle w:val="Sansinterligne"/>
            </w:pPr>
            <w:r>
              <w:t>Propriétés principales</w:t>
            </w:r>
          </w:p>
        </w:tc>
        <w:tc>
          <w:tcPr>
            <w:tcW w:w="6269" w:type="dxa"/>
          </w:tcPr>
          <w:p w:rsidR="00EF4F46" w:rsidRPr="0081762E" w:rsidRDefault="00EF4F46" w:rsidP="00EF4F46">
            <w:pPr>
              <w:pStyle w:val="Sansinterligne"/>
            </w:pPr>
            <w:r>
              <w:t xml:space="preserve">apparence – poudre marron clair  </w:t>
            </w:r>
          </w:p>
          <w:p w:rsidR="00EF4F46" w:rsidRPr="0081762E" w:rsidRDefault="00EF4F46" w:rsidP="00EF4F46">
            <w:pPr>
              <w:pStyle w:val="Sansinterligne"/>
            </w:pPr>
            <w:r>
              <w:t xml:space="preserve">durée de conservation - 24 mois dans un conditionnement scellé  </w:t>
            </w:r>
          </w:p>
          <w:p w:rsidR="00EF4F46" w:rsidRPr="0081762E" w:rsidRDefault="00EF4F46" w:rsidP="00EF4F46">
            <w:pPr>
              <w:pStyle w:val="Sansinterligne"/>
            </w:pPr>
            <w:r>
              <w:t xml:space="preserve">parfum – neutre       </w:t>
            </w:r>
          </w:p>
          <w:p w:rsidR="00EF4F46" w:rsidRPr="0081762E" w:rsidRDefault="00EF4F46" w:rsidP="00EF4F46">
            <w:pPr>
              <w:pStyle w:val="Sansinterligne"/>
            </w:pPr>
            <w:r>
              <w:t xml:space="preserve">pH - 7.0 - 8.8 </w:t>
            </w:r>
          </w:p>
          <w:p w:rsidR="00EF4F46" w:rsidRPr="0081762E" w:rsidRDefault="00EF4F46" w:rsidP="00EF4F46">
            <w:pPr>
              <w:pStyle w:val="Sansinterligne"/>
            </w:pPr>
            <w:r>
              <w:t>forme - poudre</w:t>
            </w:r>
          </w:p>
        </w:tc>
      </w:tr>
      <w:tr w:rsidR="00EF4F46" w:rsidRPr="0081762E" w:rsidTr="00EF4F46">
        <w:tc>
          <w:tcPr>
            <w:tcW w:w="2943" w:type="dxa"/>
          </w:tcPr>
          <w:p w:rsidR="00EF4F46" w:rsidRPr="0081762E" w:rsidRDefault="00EF4F46" w:rsidP="00EF4F46">
            <w:pPr>
              <w:pStyle w:val="Sansinterligne"/>
            </w:pPr>
            <w:r>
              <w:t>Performances</w:t>
            </w:r>
          </w:p>
        </w:tc>
        <w:tc>
          <w:tcPr>
            <w:tcW w:w="6269" w:type="dxa"/>
          </w:tcPr>
          <w:p w:rsidR="00EF4F46" w:rsidRPr="0081762E" w:rsidRDefault="00EF4F46" w:rsidP="00EF4F46">
            <w:pPr>
              <w:pStyle w:val="Sansinterligne"/>
            </w:pPr>
            <w:r>
              <w:t>gamme de pH effective - 5.0 – 10.0 gamme de températures  5 - 50 °C</w:t>
            </w:r>
          </w:p>
        </w:tc>
      </w:tr>
      <w:tr w:rsidR="00EF4F46" w:rsidRPr="004814CD" w:rsidTr="00EF4F46">
        <w:tc>
          <w:tcPr>
            <w:tcW w:w="2943" w:type="dxa"/>
          </w:tcPr>
          <w:p w:rsidR="00EF4F46" w:rsidRPr="0081762E" w:rsidRDefault="00EF4F46" w:rsidP="00EF4F46">
            <w:pPr>
              <w:pStyle w:val="Sansinterligne"/>
            </w:pPr>
            <w:r>
              <w:t>Conditionnement</w:t>
            </w:r>
          </w:p>
        </w:tc>
        <w:tc>
          <w:tcPr>
            <w:tcW w:w="6269" w:type="dxa"/>
          </w:tcPr>
          <w:p w:rsidR="00EF4F46" w:rsidRPr="004814CD" w:rsidRDefault="00EF4F46" w:rsidP="00EF4F46">
            <w:pPr>
              <w:pStyle w:val="Sansinterligne"/>
              <w:rPr>
                <w:lang w:val="en-US"/>
              </w:rPr>
            </w:pPr>
            <w:r w:rsidRPr="004814CD">
              <w:rPr>
                <w:lang w:val="en-US"/>
              </w:rPr>
              <w:t xml:space="preserve">1 kg, 5 Kg, 20 Kg, 100 Kg, 200 Kg </w:t>
            </w:r>
          </w:p>
        </w:tc>
      </w:tr>
    </w:tbl>
    <w:p w:rsidR="00EF4F46" w:rsidRPr="004814CD" w:rsidRDefault="00EF4F46" w:rsidP="00EF4F46">
      <w:pPr>
        <w:pStyle w:val="Sansinterligne"/>
        <w:rPr>
          <w:lang w:val="en-US"/>
        </w:rPr>
      </w:pPr>
    </w:p>
    <w:p w:rsidR="00EF4F46" w:rsidRPr="004814CD" w:rsidRDefault="00EF4F46" w:rsidP="00EF4F46">
      <w:pPr>
        <w:pStyle w:val="Sansinterligne"/>
        <w:rPr>
          <w:lang w:val="en-US"/>
        </w:rPr>
      </w:pPr>
    </w:p>
    <w:p w:rsidR="00EF4F46" w:rsidRPr="002175E7" w:rsidRDefault="00EF4F46" w:rsidP="00EF4F46">
      <w:pPr>
        <w:pStyle w:val="Sansinterligne"/>
        <w:rPr>
          <w:b/>
          <w:color w:val="0066FF"/>
          <w:sz w:val="28"/>
          <w:szCs w:val="28"/>
          <w:u w:val="single"/>
        </w:rPr>
      </w:pPr>
      <w:r>
        <w:rPr>
          <w:b/>
          <w:color w:val="0066FF"/>
          <w:sz w:val="28"/>
          <w:u w:val="single"/>
        </w:rPr>
        <w:t xml:space="preserve">applications </w:t>
      </w:r>
    </w:p>
    <w:p w:rsidR="00EF4F46" w:rsidRDefault="00EF4F46" w:rsidP="00EF4F46">
      <w:pPr>
        <w:pStyle w:val="Sansinterligne"/>
      </w:pPr>
    </w:p>
    <w:p w:rsidR="00EF4F46" w:rsidRPr="002175E7" w:rsidRDefault="00EF4F46" w:rsidP="00EF4F46">
      <w:pPr>
        <w:pStyle w:val="Sansinterligne"/>
      </w:pPr>
      <w:r>
        <w:t xml:space="preserve">ACTIVATOP GTP a été développé pour :  - </w:t>
      </w:r>
    </w:p>
    <w:p w:rsidR="00EF4F46" w:rsidRPr="002175E7" w:rsidRDefault="00EF4F46" w:rsidP="00EF4F46">
      <w:pPr>
        <w:pStyle w:val="Sansinterligne"/>
        <w:jc w:val="both"/>
      </w:pPr>
      <w:r>
        <w:t xml:space="preserve"> </w:t>
      </w:r>
    </w:p>
    <w:p w:rsidR="00EF4F46" w:rsidRPr="002175E7" w:rsidRDefault="00EF4F46" w:rsidP="00EF4F46">
      <w:pPr>
        <w:pStyle w:val="Sansinterligne"/>
        <w:jc w:val="both"/>
      </w:pPr>
      <w:r>
        <w:t xml:space="preserve">Constituer rapidement une biomasse efficace pour la dégradation des huiles et graisses animales, végétales et minérales dans les bacs à graisse, dans le domaine de l'industrie alimentaire et autres secteurs pour lesquels une accumulation des huiles et graisses et autres matières organiques peut être problématique.  </w:t>
      </w:r>
    </w:p>
    <w:p w:rsidR="00EF4F46" w:rsidRPr="002175E7" w:rsidRDefault="00EF4F46" w:rsidP="00EF4F46">
      <w:pPr>
        <w:pStyle w:val="Sansinterligne"/>
        <w:jc w:val="both"/>
      </w:pPr>
      <w:r>
        <w:t xml:space="preserve"> </w:t>
      </w:r>
    </w:p>
    <w:p w:rsidR="00EF4F46" w:rsidRPr="002175E7" w:rsidRDefault="00EF4F46" w:rsidP="00EF4F46">
      <w:pPr>
        <w:pStyle w:val="Sansinterligne"/>
        <w:jc w:val="both"/>
      </w:pPr>
      <w:r>
        <w:t xml:space="preserve">- Usines de mise en conserve </w:t>
      </w:r>
    </w:p>
    <w:p w:rsidR="00EF4F46" w:rsidRPr="002175E7" w:rsidRDefault="00EF4F46" w:rsidP="00EF4F46">
      <w:pPr>
        <w:pStyle w:val="Sansinterligne"/>
        <w:jc w:val="both"/>
      </w:pPr>
      <w:r>
        <w:t xml:space="preserve">- Usines de transformation des aliments </w:t>
      </w:r>
    </w:p>
    <w:p w:rsidR="00EF4F46" w:rsidRPr="002175E7" w:rsidRDefault="00EF4F46" w:rsidP="00EF4F46">
      <w:pPr>
        <w:pStyle w:val="Sansinterligne"/>
        <w:jc w:val="both"/>
      </w:pPr>
      <w:r>
        <w:t xml:space="preserve">- Abattoirs </w:t>
      </w:r>
    </w:p>
    <w:p w:rsidR="00EF4F46" w:rsidRPr="002175E7" w:rsidRDefault="00EF4F46" w:rsidP="00EF4F46">
      <w:pPr>
        <w:pStyle w:val="Sansinterligne"/>
        <w:jc w:val="both"/>
      </w:pPr>
      <w:r>
        <w:t xml:space="preserve">- Bacs à graisse des stations service  </w:t>
      </w:r>
    </w:p>
    <w:p w:rsidR="00EF4F46" w:rsidRPr="002175E7" w:rsidRDefault="00EF4F46" w:rsidP="00EF4F46">
      <w:pPr>
        <w:pStyle w:val="Sansinterligne"/>
        <w:jc w:val="both"/>
      </w:pPr>
      <w:r>
        <w:t xml:space="preserve">- Grandes fosses septiques,  </w:t>
      </w:r>
    </w:p>
    <w:p w:rsidR="00EF4F46" w:rsidRPr="002175E7" w:rsidRDefault="00EF4F46" w:rsidP="00EF4F46">
      <w:pPr>
        <w:pStyle w:val="Sansinterligne"/>
        <w:jc w:val="both"/>
      </w:pPr>
      <w:r>
        <w:t>- Installations mun</w:t>
      </w:r>
      <w:r w:rsidR="00FD3497">
        <w:t>icipales de traitement des eaux</w:t>
      </w:r>
      <w:r>
        <w:t xml:space="preserve"> usées </w:t>
      </w:r>
    </w:p>
    <w:p w:rsidR="00EF4F46" w:rsidRDefault="00EF4F46" w:rsidP="00EF4F46">
      <w:pPr>
        <w:pStyle w:val="Sansinterligne"/>
        <w:jc w:val="both"/>
      </w:pPr>
    </w:p>
    <w:p w:rsidR="00EF4F46" w:rsidRPr="00C078B4" w:rsidRDefault="00EF4F46" w:rsidP="00EF4F46">
      <w:pPr>
        <w:pStyle w:val="Sansinterligne"/>
        <w:jc w:val="both"/>
      </w:pPr>
    </w:p>
    <w:sectPr w:rsidR="00EF4F46" w:rsidRPr="00C078B4" w:rsidSect="00EF4F46">
      <w:footerReference w:type="default" r:id="rId8"/>
      <w:pgSz w:w="11906" w:h="16838"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8E1" w:rsidRDefault="004B28E1" w:rsidP="00EF4F46">
      <w:pPr>
        <w:spacing w:after="0" w:line="240" w:lineRule="auto"/>
      </w:pPr>
      <w:r>
        <w:separator/>
      </w:r>
    </w:p>
  </w:endnote>
  <w:endnote w:type="continuationSeparator" w:id="0">
    <w:p w:rsidR="004B28E1" w:rsidRDefault="004B28E1" w:rsidP="00EF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3"/>
    </w:tblGrid>
    <w:tr w:rsidR="00EF4F46" w:rsidRPr="0081762E">
      <w:tc>
        <w:tcPr>
          <w:tcW w:w="918" w:type="dxa"/>
        </w:tcPr>
        <w:p w:rsidR="00EF4F46" w:rsidRPr="0081762E" w:rsidRDefault="00EF4F46">
          <w:pPr>
            <w:pStyle w:val="Pieddepage"/>
            <w:jc w:val="right"/>
            <w:rPr>
              <w:b/>
              <w:bCs/>
              <w:color w:val="4F81BD"/>
              <w:sz w:val="32"/>
              <w:szCs w:val="32"/>
            </w:rPr>
          </w:pPr>
          <w:r>
            <w:fldChar w:fldCharType="begin"/>
          </w:r>
          <w:r>
            <w:instrText>PAGE   \* MERGEFORMAT</w:instrText>
          </w:r>
          <w:r>
            <w:fldChar w:fldCharType="separate"/>
          </w:r>
          <w:r w:rsidR="00AF776B" w:rsidRPr="00AF776B">
            <w:rPr>
              <w:b/>
              <w:noProof/>
              <w:color w:val="4F81BD"/>
              <w:sz w:val="32"/>
            </w:rPr>
            <w:t>1</w:t>
          </w:r>
          <w:r>
            <w:rPr>
              <w:b/>
              <w:color w:val="4F81BD"/>
              <w:sz w:val="32"/>
            </w:rPr>
            <w:fldChar w:fldCharType="end"/>
          </w:r>
        </w:p>
      </w:tc>
      <w:tc>
        <w:tcPr>
          <w:tcW w:w="7938" w:type="dxa"/>
        </w:tcPr>
        <w:p w:rsidR="00EF4F46" w:rsidRPr="0081762E" w:rsidRDefault="00EF4F46">
          <w:pPr>
            <w:pStyle w:val="Pieddepage"/>
            <w:rPr>
              <w:rFonts w:ascii="Arial" w:hAnsi="Arial" w:cs="Arial"/>
              <w:sz w:val="20"/>
              <w:szCs w:val="20"/>
            </w:rPr>
          </w:pPr>
          <w:r>
            <w:rPr>
              <w:rFonts w:ascii="Arial" w:hAnsi="Arial"/>
              <w:sz w:val="20"/>
            </w:rPr>
            <w:t>JAG Diffusion - 6, Avenue du Général de Gaulle - 60300 SENLIS – France</w:t>
          </w:r>
        </w:p>
        <w:p w:rsidR="00EF4F46" w:rsidRPr="0081762E" w:rsidRDefault="00EF4F46">
          <w:pPr>
            <w:pStyle w:val="Pieddepage"/>
          </w:pPr>
          <w:r>
            <w:rPr>
              <w:rFonts w:ascii="Arial" w:hAnsi="Arial"/>
              <w:sz w:val="20"/>
            </w:rPr>
            <w:t>Tél : +33 3 44 63 66 66 – Fax : +33 3 44 63 66 67 – E-mail : contact@jag-diffusion.com</w:t>
          </w:r>
        </w:p>
      </w:tc>
    </w:tr>
  </w:tbl>
  <w:p w:rsidR="00EF4F46" w:rsidRDefault="00EF4F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8E1" w:rsidRDefault="004B28E1" w:rsidP="00EF4F46">
      <w:pPr>
        <w:spacing w:after="0" w:line="240" w:lineRule="auto"/>
      </w:pPr>
      <w:r>
        <w:separator/>
      </w:r>
    </w:p>
  </w:footnote>
  <w:footnote w:type="continuationSeparator" w:id="0">
    <w:p w:rsidR="004B28E1" w:rsidRDefault="004B28E1" w:rsidP="00EF4F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B4"/>
    <w:rsid w:val="000E0028"/>
    <w:rsid w:val="0014478B"/>
    <w:rsid w:val="00182CF3"/>
    <w:rsid w:val="004814CD"/>
    <w:rsid w:val="004B28E1"/>
    <w:rsid w:val="00AF776B"/>
    <w:rsid w:val="00EF4F46"/>
    <w:rsid w:val="00FD34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0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078B4"/>
    <w:rPr>
      <w:sz w:val="22"/>
      <w:szCs w:val="22"/>
      <w:lang w:eastAsia="en-US"/>
    </w:rPr>
  </w:style>
  <w:style w:type="table" w:styleId="Grilledutableau">
    <w:name w:val="Table Grid"/>
    <w:basedOn w:val="TableauNormal"/>
    <w:uiPriority w:val="59"/>
    <w:rsid w:val="00C07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175E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175E7"/>
    <w:rPr>
      <w:rFonts w:ascii="Tahoma" w:hAnsi="Tahoma" w:cs="Tahoma"/>
      <w:sz w:val="16"/>
      <w:szCs w:val="16"/>
      <w:lang w:val="fr-FR"/>
    </w:rPr>
  </w:style>
  <w:style w:type="paragraph" w:styleId="En-tte">
    <w:name w:val="header"/>
    <w:basedOn w:val="Normal"/>
    <w:link w:val="En-tteCar"/>
    <w:uiPriority w:val="99"/>
    <w:unhideWhenUsed/>
    <w:rsid w:val="002175E7"/>
    <w:pPr>
      <w:tabs>
        <w:tab w:val="center" w:pos="4536"/>
        <w:tab w:val="right" w:pos="9072"/>
      </w:tabs>
      <w:spacing w:after="0" w:line="240" w:lineRule="auto"/>
    </w:pPr>
  </w:style>
  <w:style w:type="character" w:customStyle="1" w:styleId="En-tteCar">
    <w:name w:val="En-tête Car"/>
    <w:basedOn w:val="Policepardfaut"/>
    <w:link w:val="En-tte"/>
    <w:uiPriority w:val="99"/>
    <w:rsid w:val="002175E7"/>
  </w:style>
  <w:style w:type="paragraph" w:styleId="Pieddepage">
    <w:name w:val="footer"/>
    <w:basedOn w:val="Normal"/>
    <w:link w:val="PieddepageCar"/>
    <w:uiPriority w:val="99"/>
    <w:unhideWhenUsed/>
    <w:rsid w:val="002175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7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0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078B4"/>
    <w:rPr>
      <w:sz w:val="22"/>
      <w:szCs w:val="22"/>
      <w:lang w:eastAsia="en-US"/>
    </w:rPr>
  </w:style>
  <w:style w:type="table" w:styleId="Grilledutableau">
    <w:name w:val="Table Grid"/>
    <w:basedOn w:val="TableauNormal"/>
    <w:uiPriority w:val="59"/>
    <w:rsid w:val="00C07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175E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175E7"/>
    <w:rPr>
      <w:rFonts w:ascii="Tahoma" w:hAnsi="Tahoma" w:cs="Tahoma"/>
      <w:sz w:val="16"/>
      <w:szCs w:val="16"/>
      <w:lang w:val="fr-FR"/>
    </w:rPr>
  </w:style>
  <w:style w:type="paragraph" w:styleId="En-tte">
    <w:name w:val="header"/>
    <w:basedOn w:val="Normal"/>
    <w:link w:val="En-tteCar"/>
    <w:uiPriority w:val="99"/>
    <w:unhideWhenUsed/>
    <w:rsid w:val="002175E7"/>
    <w:pPr>
      <w:tabs>
        <w:tab w:val="center" w:pos="4536"/>
        <w:tab w:val="right" w:pos="9072"/>
      </w:tabs>
      <w:spacing w:after="0" w:line="240" w:lineRule="auto"/>
    </w:pPr>
  </w:style>
  <w:style w:type="character" w:customStyle="1" w:styleId="En-tteCar">
    <w:name w:val="En-tête Car"/>
    <w:basedOn w:val="Policepardfaut"/>
    <w:link w:val="En-tte"/>
    <w:uiPriority w:val="99"/>
    <w:rsid w:val="002175E7"/>
  </w:style>
  <w:style w:type="paragraph" w:styleId="Pieddepage">
    <w:name w:val="footer"/>
    <w:basedOn w:val="Normal"/>
    <w:link w:val="PieddepageCar"/>
    <w:uiPriority w:val="99"/>
    <w:unhideWhenUsed/>
    <w:rsid w:val="002175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DE3D8E482F84F8E65DDFC2A67FEAD" ma:contentTypeVersion="6" ma:contentTypeDescription="Crée un document." ma:contentTypeScope="" ma:versionID="af6b622eef18f94d52e2b78996db4484">
  <xsd:schema xmlns:xsd="http://www.w3.org/2001/XMLSchema" xmlns:xs="http://www.w3.org/2001/XMLSchema" xmlns:p="http://schemas.microsoft.com/office/2006/metadata/properties" xmlns:ns2="d5ef3955-20f9-41df-9217-89d087f877dc" targetNamespace="http://schemas.microsoft.com/office/2006/metadata/properties" ma:root="true" ma:fieldsID="e63f036e4270a167067aa28253c46186" ns2:_="">
    <xsd:import namespace="d5ef3955-20f9-41df-9217-89d087f877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f3955-20f9-41df-9217-89d087f87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893CD-089E-4696-97CC-6BDC51ED3276}"/>
</file>

<file path=customXml/itemProps2.xml><?xml version="1.0" encoding="utf-8"?>
<ds:datastoreItem xmlns:ds="http://schemas.openxmlformats.org/officeDocument/2006/customXml" ds:itemID="{DA9D2794-3E57-4D03-B373-AE36E082D037}"/>
</file>

<file path=customXml/itemProps3.xml><?xml version="1.0" encoding="utf-8"?>
<ds:datastoreItem xmlns:ds="http://schemas.openxmlformats.org/officeDocument/2006/customXml" ds:itemID="{FC580274-41A9-478D-8F44-856F27E6C156}"/>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3615</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LESEC</dc:creator>
  <cp:lastModifiedBy>CompteStagiaire1 Compte</cp:lastModifiedBy>
  <cp:revision>2</cp:revision>
  <cp:lastPrinted>2012-06-18T07:32:00Z</cp:lastPrinted>
  <dcterms:created xsi:type="dcterms:W3CDTF">2014-07-23T13:32:00Z</dcterms:created>
  <dcterms:modified xsi:type="dcterms:W3CDTF">2014-07-23T13:32:00Z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0x010100B8ADE3D8E482F84F8E65DDFC2A67FEAD</vt:lpwstr>
  </property>
</Properties>
</file>